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EA" w:rsidRPr="006A6DEA" w:rsidRDefault="006A6DEA" w:rsidP="006A6DEA">
      <w:pPr>
        <w:spacing w:line="240" w:lineRule="auto"/>
        <w:rPr>
          <w:rFonts w:ascii="Arial" w:hAnsi="Arial" w:cs="Arial"/>
          <w:sz w:val="24"/>
          <w:szCs w:val="24"/>
        </w:rPr>
      </w:pPr>
      <w:r w:rsidRPr="006A6DEA">
        <w:rPr>
          <w:rFonts w:ascii="Arial" w:hAnsi="Arial" w:cs="Arial"/>
          <w:sz w:val="24"/>
          <w:szCs w:val="24"/>
        </w:rPr>
        <w:t xml:space="preserve">Gradsko izborno povjerenstvo </w:t>
      </w:r>
    </w:p>
    <w:p w:rsidR="0051289D" w:rsidRPr="006A6DEA" w:rsidRDefault="006A6DEA" w:rsidP="006A6DEA">
      <w:pPr>
        <w:spacing w:line="240" w:lineRule="auto"/>
        <w:rPr>
          <w:rFonts w:ascii="Arial" w:hAnsi="Arial" w:cs="Arial"/>
          <w:sz w:val="24"/>
          <w:szCs w:val="24"/>
        </w:rPr>
      </w:pPr>
      <w:r w:rsidRPr="006A6DEA">
        <w:rPr>
          <w:rFonts w:ascii="Arial" w:hAnsi="Arial" w:cs="Arial"/>
          <w:sz w:val="24"/>
          <w:szCs w:val="24"/>
        </w:rPr>
        <w:t>Grada Zadra</w:t>
      </w:r>
    </w:p>
    <w:p w:rsidR="006A6DEA" w:rsidRPr="006A6DEA" w:rsidRDefault="006A6DEA" w:rsidP="006A6DEA">
      <w:pPr>
        <w:spacing w:line="240" w:lineRule="auto"/>
        <w:rPr>
          <w:rFonts w:ascii="Arial" w:hAnsi="Arial" w:cs="Arial"/>
          <w:sz w:val="24"/>
          <w:szCs w:val="24"/>
        </w:rPr>
      </w:pPr>
    </w:p>
    <w:p w:rsidR="006A6DEA" w:rsidRPr="006A6DEA" w:rsidRDefault="006A6DEA" w:rsidP="006A6DEA">
      <w:pPr>
        <w:spacing w:line="240" w:lineRule="auto"/>
        <w:rPr>
          <w:rFonts w:ascii="Arial" w:hAnsi="Arial" w:cs="Arial"/>
          <w:sz w:val="24"/>
          <w:szCs w:val="24"/>
        </w:rPr>
      </w:pPr>
      <w:r w:rsidRPr="006A6DEA">
        <w:rPr>
          <w:rFonts w:ascii="Arial" w:hAnsi="Arial" w:cs="Arial"/>
          <w:sz w:val="24"/>
          <w:szCs w:val="24"/>
        </w:rPr>
        <w:t xml:space="preserve">Broj: </w:t>
      </w:r>
      <w:r w:rsidRPr="006A6DEA">
        <w:rPr>
          <w:rFonts w:ascii="Arial" w:hAnsi="Arial" w:cs="Arial"/>
          <w:sz w:val="24"/>
          <w:szCs w:val="24"/>
        </w:rPr>
        <w:tab/>
      </w:r>
      <w:r w:rsidR="007823A7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</w:t>
      </w:r>
      <w:r w:rsidRPr="006A6DEA">
        <w:rPr>
          <w:rFonts w:ascii="Arial" w:hAnsi="Arial" w:cs="Arial"/>
          <w:sz w:val="24"/>
          <w:szCs w:val="24"/>
        </w:rPr>
        <w:t>2013</w:t>
      </w:r>
    </w:p>
    <w:p w:rsidR="006A6DEA" w:rsidRPr="006A6DEA" w:rsidRDefault="006A6DEA" w:rsidP="006A6DEA">
      <w:pPr>
        <w:spacing w:line="240" w:lineRule="auto"/>
        <w:rPr>
          <w:rFonts w:ascii="Arial" w:hAnsi="Arial" w:cs="Arial"/>
          <w:sz w:val="24"/>
          <w:szCs w:val="24"/>
        </w:rPr>
      </w:pPr>
    </w:p>
    <w:p w:rsidR="006A6DEA" w:rsidRDefault="006A6DEA" w:rsidP="006A6D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Gradsko izborno povjerenstvo Grada Zadra postupajući temeljem odredbe čl. 63. St. 2. Zakona o lokalnim izborima  (Narodne novine  144/12 u daljnjem tekstu Zakona), na sjednici održanoj 2. lipnja 2013. godine u 23,30 sati donijelo je slijedeće:</w:t>
      </w:r>
    </w:p>
    <w:p w:rsidR="006A6DEA" w:rsidRDefault="006A6DEA" w:rsidP="006A6DEA">
      <w:pPr>
        <w:spacing w:line="240" w:lineRule="auto"/>
        <w:rPr>
          <w:rFonts w:ascii="Arial" w:hAnsi="Arial" w:cs="Arial"/>
          <w:sz w:val="24"/>
          <w:szCs w:val="24"/>
        </w:rPr>
      </w:pPr>
    </w:p>
    <w:p w:rsidR="006A6DEA" w:rsidRDefault="006A6DEA" w:rsidP="006A6DE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RJEŠENJE</w:t>
      </w:r>
    </w:p>
    <w:p w:rsidR="006A6DEA" w:rsidRDefault="006A6DEA" w:rsidP="006A6DE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A6DEA" w:rsidRDefault="006A6DEA" w:rsidP="006A6DE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6DEA">
        <w:rPr>
          <w:rFonts w:ascii="Arial" w:hAnsi="Arial" w:cs="Arial"/>
          <w:sz w:val="24"/>
          <w:szCs w:val="24"/>
        </w:rPr>
        <w:t xml:space="preserve">Raspušta se birački odbor na biračkom mjestu broj 2 u Gradu Zadru </w:t>
      </w:r>
      <w:r>
        <w:rPr>
          <w:rFonts w:ascii="Arial" w:hAnsi="Arial" w:cs="Arial"/>
          <w:sz w:val="24"/>
          <w:szCs w:val="24"/>
        </w:rPr>
        <w:t xml:space="preserve"> određen rješenjem ovog povjerenstva br 26/13-2 od 31. svibnja 2013. Godine.</w:t>
      </w:r>
    </w:p>
    <w:p w:rsidR="006A6DEA" w:rsidRDefault="006A6DEA" w:rsidP="006A6DE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Novi birački odbor za biračko mjesto broj 2 imenovat će se posebnim rješenjem.</w:t>
      </w:r>
    </w:p>
    <w:p w:rsidR="006A6DEA" w:rsidRDefault="006A6DEA" w:rsidP="006A6DE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Ponavlja se glasovanje na biračkom mjestu broj 2. u Gradu Zadru za provedbu izbora za Gradonačelnika Grada Zadra i Župana Zadarske županije</w:t>
      </w:r>
    </w:p>
    <w:p w:rsidR="006A6DEA" w:rsidRDefault="006A6DEA" w:rsidP="006A6DE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Ponovljeno glasovanuje određuje se za dan 9. lipnja 2013. godine.</w:t>
      </w:r>
    </w:p>
    <w:p w:rsidR="006A6DEA" w:rsidRDefault="006A6DEA" w:rsidP="006A6DE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</w:t>
      </w:r>
    </w:p>
    <w:p w:rsidR="006A6DEA" w:rsidRDefault="006A6DEA" w:rsidP="006A6DE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823A7" w:rsidRDefault="006A6DEA" w:rsidP="007823A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zapisni</w:t>
      </w:r>
      <w:r w:rsidR="007823A7">
        <w:rPr>
          <w:rFonts w:ascii="Arial" w:hAnsi="Arial" w:cs="Arial"/>
          <w:sz w:val="24"/>
          <w:szCs w:val="24"/>
        </w:rPr>
        <w:t>ka o radu biračkog odbora na bi</w:t>
      </w:r>
      <w:r>
        <w:rPr>
          <w:rFonts w:ascii="Arial" w:hAnsi="Arial" w:cs="Arial"/>
          <w:sz w:val="24"/>
          <w:szCs w:val="24"/>
        </w:rPr>
        <w:t xml:space="preserve">račkom mjestu broj 2 u Gradu Zadru proizišlo je da je u glasačkim  kutijama pronađen jedan listić više od broja glasača. Naime, u kutijama je pronađeno po 550 listića, a </w:t>
      </w:r>
      <w:r w:rsidR="007823A7">
        <w:rPr>
          <w:rFonts w:ascii="Arial" w:hAnsi="Arial" w:cs="Arial"/>
          <w:sz w:val="24"/>
          <w:szCs w:val="24"/>
        </w:rPr>
        <w:t xml:space="preserve">prema biračkim popisima i potvrdama je glasovalo 549 birača. </w:t>
      </w:r>
    </w:p>
    <w:p w:rsidR="007823A7" w:rsidRDefault="007823A7" w:rsidP="007823A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Stoga je primjenom članka 63. Zakon valjalo odlučiti kao u izreci ovog rješenja.</w:t>
      </w:r>
      <w:r w:rsidR="006A6DEA">
        <w:rPr>
          <w:rFonts w:ascii="Arial" w:hAnsi="Arial" w:cs="Arial"/>
          <w:sz w:val="24"/>
          <w:szCs w:val="24"/>
        </w:rPr>
        <w:t xml:space="preserve">  </w:t>
      </w:r>
    </w:p>
    <w:p w:rsidR="007823A7" w:rsidRDefault="007823A7" w:rsidP="007823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Zadru, 2. lipnja 2013. godine</w:t>
      </w:r>
    </w:p>
    <w:p w:rsidR="007823A7" w:rsidRDefault="007823A7" w:rsidP="007823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823A7" w:rsidRDefault="007823A7" w:rsidP="007823A7">
      <w:pPr>
        <w:spacing w:line="240" w:lineRule="auto"/>
        <w:ind w:left="3540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Gradskog izbornog povjerenstva Grada Zadra</w:t>
      </w:r>
    </w:p>
    <w:p w:rsidR="007823A7" w:rsidRDefault="007823A7" w:rsidP="007823A7">
      <w:pPr>
        <w:spacing w:line="240" w:lineRule="auto"/>
        <w:ind w:left="2832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Željko Rogić v.r.</w:t>
      </w:r>
    </w:p>
    <w:p w:rsidR="007823A7" w:rsidRDefault="007823A7" w:rsidP="007823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823A7" w:rsidRDefault="007823A7" w:rsidP="007823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823A7" w:rsidRDefault="007823A7" w:rsidP="007823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823A7" w:rsidRPr="006A6DEA" w:rsidRDefault="007823A7" w:rsidP="007823A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7823A7" w:rsidRPr="006A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02668"/>
    <w:multiLevelType w:val="hybridMultilevel"/>
    <w:tmpl w:val="BCC8C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9D"/>
    <w:rsid w:val="0051289D"/>
    <w:rsid w:val="006A6DEA"/>
    <w:rsid w:val="007823A7"/>
    <w:rsid w:val="00C5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cp:lastPrinted>2013-05-15T09:38:00Z</cp:lastPrinted>
  <dcterms:created xsi:type="dcterms:W3CDTF">2013-06-02T21:48:00Z</dcterms:created>
  <dcterms:modified xsi:type="dcterms:W3CDTF">2013-06-02T21:48:00Z</dcterms:modified>
</cp:coreProperties>
</file>